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60"/>
        <w:jc w:val="center"/>
      </w:pPr>
      <w:r>
        <w:rPr>
          <w:rFonts w:ascii="Arial" w:hAnsi="Arial" w:eastAsia="Noto Sans CJK KR"/>
          <w:b/>
          <w:color w:val="17365D"/>
          <w:sz w:val="44"/>
        </w:rPr>
        <w:t>로컬 리부트 유료협업 표준계약서</w:t>
      </w:r>
    </w:p>
    <w:p>
      <w:pPr>
        <w:spacing w:after="240"/>
        <w:jc w:val="center"/>
      </w:pPr>
      <w:r>
        <w:rPr>
          <w:rFonts w:ascii="Arial" w:hAnsi="Arial" w:eastAsia="Noto Sans CJK KR"/>
          <w:b w:val="0"/>
          <w:color w:val="666666"/>
          <w:sz w:val="19"/>
        </w:rPr>
        <w:t>LOCAL REBOOT PAID COLLABORATION AGREEMENT</w:t>
      </w:r>
    </w:p>
    <w:p>
      <w:pPr>
        <w:spacing w:after="160"/>
      </w:pPr>
      <w:r>
        <w:rPr>
          <w:rFonts w:ascii="Arial" w:hAnsi="Arial" w:eastAsia="Noto Sans CJK KR"/>
          <w:b w:val="0"/>
          <w:color w:val="000000"/>
          <w:sz w:val="21"/>
        </w:rPr>
        <w:t>양평포스트(이하 “갑”)와 아래 협업업체(이하 “을”)는 지역의 가게·예술·공예·로컬푸드·장터·복지서비스 등의 개선과 공정한 정보 제공을 위한 ‘로컬 리부트’ 프로젝트에 관하여 다음과 같이 계약을 체결한다.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cantSplit/>
        </w:trPr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갑</w:t>
            </w:r>
          </w:p>
        </w:tc>
        <w:tc>
          <w:tcPr>
            <w:tcW w:type="dxa" w:w="37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양평포스트</w:t>
            </w:r>
          </w:p>
        </w:tc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대표자</w:t>
            </w:r>
          </w:p>
        </w:tc>
        <w:tc>
          <w:tcPr>
            <w:tcW w:type="dxa" w:w="34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장세원</w:t>
            </w:r>
          </w:p>
        </w:tc>
      </w:tr>
      <w:tr>
        <w:trPr>
          <w:cantSplit/>
        </w:trPr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등록번호</w:t>
            </w:r>
          </w:p>
        </w:tc>
        <w:tc>
          <w:tcPr>
            <w:tcW w:type="dxa" w:w="37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경기, 아54436</w:t>
            </w:r>
          </w:p>
        </w:tc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연락처</w:t>
            </w:r>
          </w:p>
        </w:tc>
        <w:tc>
          <w:tcPr>
            <w:tcW w:type="dxa" w:w="34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010-9987-0414</w:t>
            </w:r>
          </w:p>
        </w:tc>
      </w:tr>
      <w:tr>
        <w:trPr>
          <w:cantSplit/>
        </w:trPr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주소</w:t>
            </w:r>
          </w:p>
        </w:tc>
        <w:tc>
          <w:tcPr>
            <w:tcW w:type="dxa" w:w="37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경기도 양평군 옥천면 사나사길 86</w:t>
            </w:r>
          </w:p>
        </w:tc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사업자번호</w:t>
            </w:r>
          </w:p>
        </w:tc>
        <w:tc>
          <w:tcPr>
            <w:tcW w:type="dxa" w:w="34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428-09-01476</w:t>
            </w:r>
          </w:p>
        </w:tc>
      </w:tr>
      <w:tr>
        <w:trPr>
          <w:cantSplit/>
        </w:trPr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을</w:t>
            </w:r>
          </w:p>
        </w:tc>
        <w:tc>
          <w:tcPr>
            <w:tcW w:type="dxa" w:w="37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[상호·법인명]</w:t>
            </w:r>
          </w:p>
        </w:tc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대표자</w:t>
            </w:r>
          </w:p>
        </w:tc>
        <w:tc>
          <w:tcPr>
            <w:tcW w:type="dxa" w:w="34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[성명]</w:t>
            </w:r>
          </w:p>
        </w:tc>
      </w:tr>
      <w:tr>
        <w:trPr>
          <w:cantSplit/>
        </w:trPr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주소</w:t>
            </w:r>
          </w:p>
        </w:tc>
        <w:tc>
          <w:tcPr>
            <w:tcW w:type="dxa" w:w="37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[사업장 주소]</w:t>
            </w:r>
          </w:p>
        </w:tc>
        <w:tc>
          <w:tcPr>
            <w:tcW w:type="dxa" w:w="11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연락처</w:t>
            </w:r>
          </w:p>
        </w:tc>
        <w:tc>
          <w:tcPr>
            <w:tcW w:type="dxa" w:w="34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[전화·이메일]</w:t>
            </w:r>
          </w:p>
        </w:tc>
      </w:tr>
    </w:tbl>
    <w:p>
      <w:pPr>
        <w:pStyle w:val="Heading1"/>
      </w:pPr>
      <w:r>
        <w:t>제1조(목적)</w:t>
      </w:r>
    </w:p>
    <w:p>
      <w:pPr>
        <w:pStyle w:val="Clause"/>
      </w:pPr>
      <w:r>
        <w:rPr>
          <w:rFonts w:ascii="Arial" w:hAnsi="Arial" w:eastAsia="Noto Sans CJK KR"/>
          <w:b w:val="0"/>
          <w:color w:val="000000"/>
          <w:sz w:val="21"/>
        </w:rPr>
        <w:t>이 계약은 갑과 을이 지역경제 활성화 및 지역 서비스 개선을 목적으로 수행하는 로컬 리부트 프로젝트의 업무범위, 대금, 광고표시, 편집권, 지식재산권 및 당사자의 권리·의무를 정함을 목적으로 한다.</w:t>
      </w:r>
    </w:p>
    <w:p>
      <w:pPr>
        <w:pStyle w:val="Heading1"/>
      </w:pPr>
      <w:r>
        <w:t>제2조(계약의 성격과 기본원칙)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이 계약은 개선 자문, 취재, 사진·영상 촬영, 콘텐츠 제작 및 홍보에 관한 유료협업 계약이다.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을이 지급하는 대금은 호의적인 기사나 평가의 대가가 아니라 별지 1의 용역 수행에 대한 대가이다.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갑은 사실과 다른 내용, 과장된 효능, 경쟁업체 비방, 차별적 표현 또는 관계 법령과 언론윤리에 반하는 내용의 게재를 거부하거나 수정할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갑은 매출·방문객·예약·평판의 증가 또는 특정한 사업성과를 보장하지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⑤ 양 당사자는 지역성, 사실성, 이용자 보호와 장기적인 상생을 우선한다.</w:t>
      </w:r>
    </w:p>
    <w:p>
      <w:pPr>
        <w:pStyle w:val="Heading1"/>
      </w:pPr>
      <w:r>
        <w:t>제3조(프로젝트와 업무범위)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구체적인 프로젝트명, 목적, 기간, 산출물, 게시매체와 게시예정일은 별지 1 ‘프로젝트 수행명세서’에 따른다.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업무는 현장 진단, 상품·메뉴·서비스 개선 자문, 인터뷰, 원고 작성, 사진·영상 제작, 디자인, 게시 및 사후성과 취재 중 별지 1에서 선택한 항목으로 한정한다.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별지에 없는 추가 촬영, 원고 재작성, 디자인, 출장, 전문가 섭외, 인쇄 또는 광고집행은 당사자 합의로 비용과 일정을 별도로 정한다.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을은 취재·촬영 장소의 안전과 영업에 필요한 인허가·신고 상태를 확인하고, 갑의 현장 업무에 필요한 협조를 제공한다.</w:t>
      </w:r>
    </w:p>
    <w:p>
      <w:pPr>
        <w:pStyle w:val="Heading1"/>
      </w:pPr>
      <w:r>
        <w:t>제4조(계약기간과 일정)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계약기간은 [      년   월   일]부터 [      년   월   일]까지로 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자료 제출, 촬영, 초안 확인 및 게시 일정은 별지 1에 따른다.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천재지변, 질병, 플랫폼 장애, 자료 제출 지연 등 합리적인 사유가 있으면 당사자는 협의하여 일정을 변경할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을의 자료 제출 또는 확인 지연으로 생긴 게시 지연에 대하여 갑은 책임을 지지 않는다.</w:t>
      </w:r>
    </w:p>
    <w:p>
      <w:pPr>
        <w:pStyle w:val="Heading1"/>
      </w:pPr>
      <w:r>
        <w:t>제5조(계약대금과 지급)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총 계약대금은 금 [                    ]원으로 한다. 부가가치세는 [포함 / 별도]이다.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을은 계약금 [      ]%를 계약일로부터 [   ]영업일 이내에, 잔금 [      ]%를 [게시 전 / 게시 후   일 이내]에 갑이 지정한 계좌로 지급한다.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외부 전문가, 모델, 재료, 소품, 원거리 출장, 유료매체 집행비 등 실비는 사전 승인을 받아 별도로 청구한다.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갑은 관계 법령에 따라 세금계산서·현금영수증 등 적법한 증빙을 발행한다.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⑤ 을이 지급기한을 넘긴 경우 갑은 상당한 기간을 정하여 이행을 최고한 뒤 업무 또는 게시를 보류할 수 있다.</w:t>
      </w:r>
    </w:p>
    <w:p>
      <w:pPr>
        <w:pStyle w:val="Heading1"/>
      </w:pPr>
      <w:r>
        <w:t>제6조(자료 제공과 사실확인)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을은 상호, 대표자, 주소, 가격, 원산지, 인허가, 자격, 서비스 내용, 지원대상 및 통계 등 콘텐츠 작성에 필요한 정보를 정확하게 제공한다.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을은 제공 자료와 표현이 제3자의 저작권·상표권·초상권·개인정보·영업비밀을 침해하지 않으며, 필요한 이용허락을 얻었음을 보증한다.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갑은 합리적인 범위에서 증빙자료를 요구할 수 있고, 을이 증빙하지 못한 주장은 삭제하거나 ‘업체 설명’임을 명시할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을의 허위·누락 자료 때문에 민원, 손해 또는 법적 분쟁이 발생한 경우 을은 귀책범위에서 책임을 부담한다.</w:t>
      </w:r>
    </w:p>
    <w:p>
      <w:pPr>
        <w:pStyle w:val="Heading1"/>
      </w:pPr>
      <w:r>
        <w:t>제7조(편집권과 원고 확인)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제목, 구성, 문장, 사진 선택, 게시 위치와 최종 발행 여부에 관한 편집권은 갑에게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갑은 게시 전 초안을 을에게 제공할 수 있다. 을의 확인 범위는 이름, 날짜, 가격, 수치, 인허가 등 사실관계로 한정한다.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을은 단순한 선호, 불리한 평가의 삭제 또는 경쟁업체에 대한 비교·비방을 이유로 수정을 요구할 수 없다.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을은 초안 수령 후 [2]영업일 이내에 사실오류와 근거를 한 번에 제출한다. 기한 내 회신이 없으면 사실확인을 마친 것으로 본다.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⑤ 게재 후 새로운 사실, 가격변경, 안전문제 또는 공익상 필요가 생기면 갑은 콘텐츠를 정정·추가·숨김·삭제할 수 있다.</w:t>
      </w:r>
    </w:p>
    <w:p>
      <w:pPr>
        <w:pStyle w:val="Heading1"/>
      </w:pPr>
      <w:r>
        <w:t>제8조(유료협업 및 광고의 표시)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갑은 독자가 경제적 이해관계를 쉽게 알 수 있도록 제목 또는 본문 시작 부분의 명확한 위치에 ‘유료협업’, ‘유료광고’ 또는 이에 준하는 표시를 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기본 표시문구는 다음과 같다: “이 콘텐츠는 양평포스트가 업체로부터 프로젝트 비용을 받고 취재·촬영·제작한 유료협업 콘텐츠입니다.”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식사, 제품, 숙박, 교통, 공간 등을 제공받은 경우 갑은 필요에 따라 그 사실을 별도로 표시한다.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을은 유료관계를 숨기거나 일반 독립기사로 오인시킬 수 있는 표시·배치를 요구할 수 없다.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⑤ 별지에서 ‘순수광고’를 선택한 경우 갑은 편집기사와 시각적으로 구분하고 ‘광고’임을 표시한다.</w:t>
      </w:r>
    </w:p>
    <w:p>
      <w:pPr>
        <w:pStyle w:val="Heading1"/>
      </w:pPr>
      <w:r>
        <w:t>제9조(독립취재와 비판보도)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이 계약은 갑의 독립취재 또는 공익보도를 제한하지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식품위생, 원산지, 안전, 노동, 소비자 피해, 보조금, 인허가 등 공익상 중요한 사안이 확인되면 갑은 별도로 취재·보도할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갑은 을에게 사실확인과 반론 기회를 제공하되, 을은 광고계약 또는 대금 지급을 이유로 기사 게재를 막을 수 없다.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갑은 협찬관계를 이유로 을에게 부당한 금품·향응 또는 추가 광고를 요구하지 않는다.</w:t>
      </w:r>
    </w:p>
    <w:p>
      <w:pPr>
        <w:pStyle w:val="Heading1"/>
      </w:pPr>
      <w:r>
        <w:t>제10조(지식재산권과 이용허락)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갑이 작성·촬영·제작한 원고, 사진, 영상, 편집물의 저작권은 별도 약정이 없는 한 갑에게 귀속한다.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을은 계약대금을 완납한 뒤, 갑의 출처와 유료협업 사실을 훼손하지 않는 범위에서 자신의 홈페이지와 사회관계망서비스에 해당 콘텐츠의 링크 또는 갑이 승인한 이미지·발췌문을 비독점적으로 이용할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을은 갑의 사전 서면동의 없이 원고·사진을 수정하거나, 제3자 광고·인쇄물·상품·옥외광고에 재사용하거나, 언론보도처럼 보이도록 재편집할 수 없다.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을이 제공한 상호, 로고, 사진, 작품 등의 권리는 을 또는 정당한 권리자에게 귀속한다. 을은 갑에게 계약 수행과 게시에 필요한 범위의 비독점적 이용을 허락한다.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⑤ 예술가·공예가와 공동개발한 작품·상품의 저작권, 제작권, 판매권, 수익배분은 별도 공동제작 합의서로 정한다.</w:t>
      </w:r>
    </w:p>
    <w:p>
      <w:pPr>
        <w:pStyle w:val="Heading1"/>
      </w:pPr>
      <w:r>
        <w:t>제11조(개인정보와 초상권)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당사자는 계약 수행에 필요한 최소한의 개인정보만 수집·이용하며, 목적 달성 후 관계 법령과 내부정책에 따라 보관 또는 파기한다.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고객, 직원, 시설이용자, 아동·청소년 또는 취약계층이 식별되는 촬영은 원칙적으로 당사자의 동의를 받아야 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을은 촬영 대상자의 동의 확보 여부를 갑에게 알리고, 갑은 취재윤리상 추가 동의가 필요하다고 판단하면 촬영·게재를 거부할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복지·의료·돌봄 콘텐츠에는 건강정보, 장애정보 등 민감정보가 포함되지 않도록 하며, 불가피한 경우 별도의 명시적 동의와 보호조치를 마련한다.</w:t>
      </w:r>
    </w:p>
    <w:p>
      <w:pPr>
        <w:pStyle w:val="Heading1"/>
      </w:pPr>
      <w:r>
        <w:t>제12조(표현의 제한과 업종별 준수)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식당·식품 콘텐츠는 가격, 원산지, 알레르기, 식품위생 및 영업신고 등에 관한 법령을 준수한다.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복지·돌봄·건강 관련 콘텐츠는 인허가, 이용대상, 이용료와 자부담을 정확히 표시하며, 검증되지 않은 치료·예방·개선 효과를 단정하지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가라지 세일과 장터 콘텐츠는 판매자의 사업자 여부, 거래주체, 환불·안전책임을 독자가 오인하지 않도록 표시한다.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을의 요청 내용이 위법하거나 오인 가능성이 높다고 갑이 합리적으로 판단한 경우 갑은 시정을 요구하거나 제작·게시를 거부할 수 있다.</w:t>
      </w:r>
    </w:p>
    <w:p>
      <w:pPr>
        <w:pStyle w:val="Heading1"/>
      </w:pPr>
      <w:r>
        <w:t>제13조(성과자료와 후속보도)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당사자가 동의하면 갑은 프로젝트 전후의 고객 수, 객단가, 예약, 대표상품 판매비중, 폐기율 등 성과자료를 수집할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성과자료는 을이 제공한 자료와 갑이 확인한 자료를 구분하며, 계절·날씨·관광객 등 외부요인을 고려하여 인과관계를 과장하지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매출액 등 영업비밀의 공개 범위와 익명·비율 표시 여부는 별지에서 정한다.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갑은 30일 또는 90일 후 후속취재를 할 수 있으며, 추가 제작비가 있으면 별도로 합의한다.</w:t>
      </w:r>
    </w:p>
    <w:p>
      <w:pPr>
        <w:pStyle w:val="Heading1"/>
      </w:pPr>
      <w:r>
        <w:t>제14조(취소·해지와 환급)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 일방이 계약을 중대하게 위반하고 상대방의 서면 시정요구 후 [7]일 이내에 시정하지 않으면 상대방은 계약을 해지할 수 있다.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을의 단순변심에 따른 취소 시 환급액은 실제로 완료된 기획·취재·촬영·디자인 비용과 이미 지출한 실비를 공제하여 산정한다.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계약 전 취소는 지급액의 [90]%, 기획 착수 후 [70]%, 현장 취재·촬영 후 [30]%, 원고 초안 완성 후 [10]%를 환급하는 것을 원칙으로 하되, 실제 이행비용이 다르면 그 비용을 기준으로 정산한다.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게시가 완료된 뒤에는 원칙적으로 환급하지 않는다. 다만 갑의 귀책으로 핵심 산출물이 제공되지 않은 경우 미이행 부분을 비례 정산한다.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⑤ 을의 허위자료, 무허가 영업, 권리침해 또는 사회적 신뢰를 중대하게 훼손할 사유가 확인된 경우 갑은 즉시 게시를 중단하고 계약을 해지할 수 있으며, 완료 업무와 실비를 공제한다.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⑥ 게시물 삭제는 계약 해지와 별개의 편집판단이다. 법령 위반, 권리침해, 중대한 사실오류 또는 공익상 필요가 있는 경우를 제외하고 단순변심만으로 삭제를 보장하지 않는다.</w:t>
      </w:r>
    </w:p>
    <w:p>
      <w:pPr>
        <w:pStyle w:val="Heading1"/>
      </w:pPr>
      <w:r>
        <w:t>제15조(손해배상과 책임의 제한)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당사자가 고의 또는 과실로 계약을 위반하여 상대방에게 직접손해를 발생시킨 경우 귀책범위에서 배상한다.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갑은 을의 매출감소, 기대이익 상실, 제3자의 평가, 검색순위 또는 플랫폼 알고리즘 변화에 대하여 책임을 부담하지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을이 제공한 허위자료, 권리침해 자료 또는 무단 촬영물로 제3자의 청구가 발생한 경우 을은 자신의 귀책범위에서 해결하고 갑의 합리적인 대응비용을 부담한다.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④ 갑의 배상책임은 고의 또는 중대한 과실이 없는 한 해당 개별 프로젝트에서 실제 지급받은 계약대금을 한도로 한다.</w:t>
      </w:r>
    </w:p>
    <w:p>
      <w:pPr>
        <w:pStyle w:val="Heading1"/>
      </w:pPr>
      <w:r>
        <w:t>제16조(비밀유지)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당사자는 계약 과정에서 알게 된 상대방의 영업비밀, 미공개 매출자료, 레시피, 개인정보 및 협상내용을 계약목적 외에 사용하거나 제3자에게 공개하지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이미 공개된 정보, 적법하게 보유한 정보, 법령·법원·수사기관의 요구에 따라 공개하는 정보, 공익보도에 필요한 정보에는 제1항을 적용하지 않는다.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비밀유지 의무는 계약 종료 후 [2]년간 존속한다. 개인정보와 영업비밀은 관련 법령상 보호기간에 따른다.</w:t>
      </w:r>
    </w:p>
    <w:p>
      <w:pPr>
        <w:pStyle w:val="Heading1"/>
      </w:pPr>
      <w:r>
        <w:t>제17조(권리·의무의 양도 및 재위탁)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당사자는 상대방의 사전 서면동의 없이 이 계약상 권리·의무를 제3자에게 양도하거나 담보로 제공할 수 없다.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갑은 촬영, 디자인, 메뉴개발 등 전문업무를 제3자에게 맡길 수 있다. 이 경우 갑은 비밀유지와 개인정보 보호에 필요한 조치를 취한다.</w:t>
      </w:r>
    </w:p>
    <w:p>
      <w:pPr>
        <w:pStyle w:val="Heading1"/>
      </w:pPr>
      <w:r>
        <w:t>제18조(통지와 변경)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계약 관련 통지는 계약서에 기재된 이메일, 문자메시지, 전자문서 또는 서면으로 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이 계약과 별지의 변경은 당사자가 확인할 수 있는 서면 또는 전자문서 합의로 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계약서와 별지의 내용이 다르면 별지의 개별 합의가 우선한다. 다만 광고표시, 편집권 및 위법한 표현의 제한은 완화할 수 없다.</w:t>
      </w:r>
    </w:p>
    <w:p>
      <w:pPr>
        <w:pStyle w:val="Heading1"/>
      </w:pPr>
      <w:r>
        <w:t>제19조(분쟁 해결과 관할)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당사자는 분쟁이 발생하면 상호 신뢰를 바탕으로 우선 협의한다.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협의로 해결되지 않는 분쟁에는 대한민국 법령을 적용한다.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③ 소송이 필요한 경우 「민사소송법」상 관할법원을 제1심 전속관할로 한다. 다만 당사자가 적법하게 별도 관할합의를 한 경우에는 그 합의에 따른다.</w:t>
      </w:r>
    </w:p>
    <w:p>
      <w:pPr>
        <w:pStyle w:val="Heading1"/>
      </w:pPr>
      <w:r>
        <w:t>제20조(계약서의 효력)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① 이 계약서는 본문과 별지로 구성되며, 당사자가 서명 또는 날인한 날부터 효력이 발생한다.</w:t>
      </w:r>
    </w:p>
    <w:p>
      <w:pPr>
        <w:pStyle w:val="Clause"/>
        <w:ind w:left="317" w:hanging="317"/>
      </w:pPr>
      <w:r>
        <w:rPr>
          <w:rFonts w:ascii="Arial" w:hAnsi="Arial" w:eastAsia="Noto Sans CJK KR"/>
          <w:b w:val="0"/>
          <w:color w:val="000000"/>
          <w:sz w:val="20"/>
        </w:rPr>
        <w:t>② 당사자는 계약 내용을 충분히 읽고 이해하였으며, 동일한 계약서 2부를 작성하여 각각 1부씩 보관한다.</w:t>
      </w:r>
    </w:p>
    <w:p>
      <w:pPr>
        <w:spacing w:before="320"/>
        <w:jc w:val="center"/>
      </w:pPr>
      <w:r>
        <w:rPr>
          <w:rFonts w:ascii="Arial" w:hAnsi="Arial" w:eastAsia="Noto Sans CJK KR"/>
          <w:b/>
          <w:color w:val="000000"/>
          <w:sz w:val="22"/>
        </w:rPr>
        <w:t>20     년      월      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cantSplit/>
        </w:trPr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9"/>
              </w:rPr>
              <w:t>갑  양평포스트</w:t>
            </w:r>
          </w:p>
        </w:tc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9"/>
              </w:rPr>
              <w:t>을  [상호·법인명]</w:t>
            </w:r>
          </w:p>
        </w:tc>
      </w:tr>
      <w:tr>
        <w:trPr>
          <w:cantSplit/>
        </w:trPr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발행인  장세원</w:t>
            </w:r>
          </w:p>
        </w:tc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대표자  [성명]</w:t>
            </w:r>
          </w:p>
        </w:tc>
      </w:tr>
      <w:tr>
        <w:trPr>
          <w:cantSplit/>
        </w:trPr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주소  경기도 양평군 옥천면 사나사길 86</w:t>
            </w:r>
          </w:p>
        </w:tc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주소  [사업장 주소]</w:t>
            </w:r>
          </w:p>
        </w:tc>
      </w:tr>
      <w:tr>
        <w:trPr>
          <w:cantSplit/>
        </w:trPr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서명·날인  __________________</w:t>
            </w:r>
          </w:p>
        </w:tc>
        <w:tc>
          <w:tcPr>
            <w:tcW w:type="dxa" w:w="460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서명·날인  __________________</w:t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Arial" w:hAnsi="Arial" w:eastAsia="Noto Sans CJK KR"/>
          <w:b/>
          <w:color w:val="17365D"/>
          <w:sz w:val="36"/>
        </w:rPr>
        <w:t>별지 1. 프로젝트 수행명세서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tblHeader w:val="true"/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항목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합의 내용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프로젝트명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[예: 대포항 로컬 리부트 프로젝트]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업종·분야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식당  □ 신규오픈  □ 예술·공예  □ 로컬푸드  □ 장터·가라지세일  □ 복지·돌봄  □ 기타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계약유형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유료협업 콘텐츠  □ 순수광고  □ 개선자문+콘텐츠  □ 후속성과 취재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프로젝트 목적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[현재 문제와 개선 목표를 구체적으로 기재]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계약기간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20  년  월  일부터 20  년  월  일까지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게시예정일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20  년  월  일 / 일정 변경 조건: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게시매체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양평포스트 홈페이지  □ 양평포스트 SNS  □ 기타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광고표시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유료협업  □ 유료광고  □ 물품·서비스 제공 사실 추가표시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총 계약대금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금                    원 / 부가가치세 □ 포함 □ 별도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지급조건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계약금      % / 중도금      % / 잔금      %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원고 확인기한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초안 수령 후       영업일 이내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게시 유지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원칙적으로 지속 게시. 다만 계약 제7조·제14조에 따른 정정·숨김·삭제 가능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영업비밀 공개</w:t>
            </w:r>
          </w:p>
        </w:tc>
        <w:tc>
          <w:tcPr>
            <w:tcW w:type="dxa" w:w="763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매출액 공개  □ 증감률만 공개  □ 비공개  □ 기타</w:t>
            </w:r>
          </w:p>
        </w:tc>
      </w:tr>
    </w:tbl>
    <w:p>
      <w:pPr>
        <w:pStyle w:val="Heading1"/>
      </w:pPr>
      <w:r>
        <w:t>선택 업무 및 산출물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업무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범위·수량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현장 진단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현장 방문  □ 운영·메뉴·상품·서비스 진단  □ 개선 제안서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취재·원고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인터뷰      회  □ 기사      건  □ 예상 분량      자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사진·영상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사진      장  □ 숏폼      편  □ 영상      편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디자인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메뉴판  □ 포스터  □ 배너  □ SNS 카드  □ 기타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개선 실행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메뉴·상품개발  □ 가격·원가 검토  □ 공간·진열  □ 서비스 개선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후속보도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□ 30일  □ 90일  □ 기타      일 / 측정지표: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외부 전문가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성명·역할·비용:</w:t>
            </w:r>
          </w:p>
        </w:tc>
      </w:tr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F4F6F9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000000"/>
                <w:sz w:val="18"/>
              </w:rPr>
              <w:t>제외 업무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인쇄, 광고매체비, 재료·소품, 모델, 교통·숙박 등:</w:t>
            </w:r>
          </w:p>
        </w:tc>
      </w:tr>
    </w:tbl>
    <w:p>
      <w:pPr>
        <w:pStyle w:val="Heading1"/>
      </w:pPr>
      <w:r>
        <w:t>특약사항</w:t>
      </w:r>
    </w:p>
    <w:p>
      <w:pPr>
        <w:spacing w:after="160"/>
      </w:pPr>
      <w:r>
        <w:rPr>
          <w:rFonts w:ascii="Arial" w:hAnsi="Arial" w:eastAsia="Noto Sans CJK KR"/>
          <w:b w:val="0"/>
          <w:color w:val="000000"/>
          <w:sz w:val="20"/>
        </w:rPr>
        <w:t xml:space="preserve">1. </w:t>
      </w:r>
      <w:r>
        <w:rPr>
          <w:rFonts w:ascii="Arial" w:hAnsi="Arial" w:eastAsia="Noto Sans CJK KR"/>
          <w:b w:val="0"/>
          <w:color w:val="666666"/>
          <w:sz w:val="18"/>
        </w:rPr>
        <w:t>____________________________________________________________________________________________</w:t>
      </w:r>
    </w:p>
    <w:p>
      <w:pPr>
        <w:spacing w:after="160"/>
      </w:pPr>
      <w:r>
        <w:rPr>
          <w:rFonts w:ascii="Arial" w:hAnsi="Arial" w:eastAsia="Noto Sans CJK KR"/>
          <w:b w:val="0"/>
          <w:color w:val="000000"/>
          <w:sz w:val="20"/>
        </w:rPr>
        <w:t xml:space="preserve">2. </w:t>
      </w:r>
      <w:r>
        <w:rPr>
          <w:rFonts w:ascii="Arial" w:hAnsi="Arial" w:eastAsia="Noto Sans CJK KR"/>
          <w:b w:val="0"/>
          <w:color w:val="666666"/>
          <w:sz w:val="18"/>
        </w:rPr>
        <w:t>____________________________________________________________________________________________</w:t>
      </w:r>
    </w:p>
    <w:p>
      <w:pPr>
        <w:spacing w:after="160"/>
      </w:pPr>
      <w:r>
        <w:rPr>
          <w:rFonts w:ascii="Arial" w:hAnsi="Arial" w:eastAsia="Noto Sans CJK KR"/>
          <w:b w:val="0"/>
          <w:color w:val="000000"/>
          <w:sz w:val="20"/>
        </w:rPr>
        <w:t xml:space="preserve">3. </w:t>
      </w:r>
      <w:r>
        <w:rPr>
          <w:rFonts w:ascii="Arial" w:hAnsi="Arial" w:eastAsia="Noto Sans CJK KR"/>
          <w:b w:val="0"/>
          <w:color w:val="666666"/>
          <w:sz w:val="18"/>
        </w:rPr>
        <w:t>____________________________________________________________________________________________</w:t>
      </w:r>
    </w:p>
    <w:p>
      <w:pPr>
        <w:spacing w:after="160"/>
      </w:pPr>
      <w:r>
        <w:rPr>
          <w:rFonts w:ascii="Arial" w:hAnsi="Arial" w:eastAsia="Noto Sans CJK KR"/>
          <w:b w:val="0"/>
          <w:color w:val="000000"/>
          <w:sz w:val="20"/>
        </w:rPr>
        <w:t xml:space="preserve">4. </w:t>
      </w:r>
      <w:r>
        <w:rPr>
          <w:rFonts w:ascii="Arial" w:hAnsi="Arial" w:eastAsia="Noto Sans CJK KR"/>
          <w:b w:val="0"/>
          <w:color w:val="666666"/>
          <w:sz w:val="18"/>
        </w:rPr>
        <w:t>____________________________________________________________________________________________</w:t>
      </w:r>
    </w:p>
    <w:p>
      <w:pPr>
        <w:spacing w:after="160"/>
      </w:pPr>
      <w:r>
        <w:rPr>
          <w:rFonts w:ascii="Arial" w:hAnsi="Arial" w:eastAsia="Noto Sans CJK KR"/>
          <w:b w:val="0"/>
          <w:color w:val="000000"/>
          <w:sz w:val="20"/>
        </w:rPr>
        <w:t xml:space="preserve">5. </w:t>
      </w:r>
      <w:r>
        <w:rPr>
          <w:rFonts w:ascii="Arial" w:hAnsi="Arial" w:eastAsia="Noto Sans CJK KR"/>
          <w:b w:val="0"/>
          <w:color w:val="666666"/>
          <w:sz w:val="18"/>
        </w:rPr>
        <w:t>____________________________________________________________________________________________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rFonts w:ascii="Arial" w:hAnsi="Arial" w:eastAsia="Noto Sans CJK KR"/>
          <w:b/>
          <w:color w:val="17365D"/>
          <w:sz w:val="36"/>
        </w:rPr>
        <w:t>별지 2. 유료협업 표시 및 발행 체크리스트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1. 제목 또는 본문 시작 부분에 ‘유료협업’ 또는 ‘유료광고’ 표시를 했는가?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2. 금전 외에 식사·제품·숙박·교통·공간 등을 제공받았다면 이를 밝혔는가?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3. 업체의 주장과 양평포스트가 독립적으로 확인한 사실을 구분했는가?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4. 가격·영업시간·연락처·주소·인허가·지원대상 등 핵심 사실을 확인했는가?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5. 치료·예방·수익·매출 증가 등 검증하기 어려운 효과를 단정하지 않았는가?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6. 사진 속 인물, 작품, 상표, 고객정보에 필요한 동의와 권리가 있는가?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7. 원산지·알레르기·이용료·자부담·환불조건 등 소비자 판단정보를 누락하지 않았는가?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8. 업체가 사실확인 범위를 넘어 논조·평가를 통제하지 않았는가?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9. 게시물에 문의·정정 요청을 받을 연락 창구가 있는가?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20"/>
        </w:rPr>
        <w:t>□ 10. 계약서, 증빙자료, 초안 확인내역과 최종 게시본을 보관했는가?</w:t>
      </w:r>
    </w:p>
    <w:p>
      <w:pPr>
        <w:pStyle w:val="Heading1"/>
      </w:pPr>
      <w:r>
        <w:t>권장 표시문구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유료협업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이 콘텐츠는 양평포스트가 업체로부터 프로젝트 비용을 받고 취재·촬영·제작한 유료협업 콘텐츠입니다.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유료광고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이 콘텐츠는 광고주의 비용으로 제작된 유료광고입니다.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cantSplit/>
        </w:trPr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E8EE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color w:val="17365D"/>
                <w:sz w:val="19"/>
              </w:rPr>
              <w:t>현물 제공</w:t>
            </w:r>
          </w:p>
        </w:tc>
        <w:tc>
          <w:tcPr>
            <w:tcW w:type="dxa" w:w="493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color w:val="000000"/>
                <w:sz w:val="19"/>
              </w:rPr>
              <w:t>취재 과정에서 업체로부터 [식사/제품/서비스]를 제공받았습니다. 금전적 대가는 [받았습니다/받지 않았습니다].</w:t>
            </w:r>
          </w:p>
        </w:tc>
      </w:tr>
    </w:tbl>
    <w:p>
      <w:pPr>
        <w:spacing w:after="20"/>
      </w:pPr>
    </w:p>
    <w:p>
      <w:pPr>
        <w:pStyle w:val="Heading1"/>
      </w:pPr>
      <w:r>
        <w:t>관련 법령·기준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19"/>
        </w:rPr>
        <w:t>• 「표시·광고의 공정화에 관한 법률」 제3조(부당한 표시·광고 행위의 금지)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19"/>
        </w:rPr>
        <w:t>• 공정거래위원회 「추천·보증 등에 관한 표시·광고 심사지침」(2026. 6. 1. 시행)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19"/>
        </w:rPr>
        <w:t>• 「저작권법」 제10조(저작권), 제46조(저작물의 이용허락)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19"/>
        </w:rPr>
        <w:t>• 「개인정보 보호법」 제15조(개인정보의 수집·이용), 제23조(민감정보의 처리 제한)</w:t>
      </w:r>
    </w:p>
    <w:p>
      <w:pPr>
        <w:pStyle w:val="Clause"/>
        <w:ind w:left="360" w:hanging="360"/>
      </w:pPr>
      <w:r>
        <w:rPr>
          <w:rFonts w:ascii="Arial" w:hAnsi="Arial" w:eastAsia="Noto Sans CJK KR"/>
          <w:b w:val="0"/>
          <w:color w:val="000000"/>
          <w:sz w:val="19"/>
        </w:rPr>
        <w:t>• 「민법」 및 「민사소송법」</w:t>
      </w:r>
    </w:p>
    <w:p>
      <w:pPr>
        <w:spacing w:before="200" w:after="0"/>
      </w:pPr>
      <w:r>
        <w:rPr>
          <w:rFonts w:ascii="Arial" w:hAnsi="Arial" w:eastAsia="Noto Sans CJK KR"/>
          <w:b w:val="0"/>
          <w:color w:val="666666"/>
          <w:sz w:val="18"/>
        </w:rPr>
        <w:t>사용 안내: 이 문서는 일반적인 유료협업을 위한 표준안입니다. 실제 거래금액, 환급기준, 세금처리, 예술작품 공동제작, 의료·복지광고 또는 고액·장기 프로젝트는 계약 체결 전 변호사·세무사 등 전문가의 검토를 권합니다.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Noto Sans CJK KR"/>
        <w:b w:val="0"/>
        <w:color w:val="666666"/>
        <w:sz w:val="16"/>
      </w:rPr>
      <w:t>로컬 리부트 유료협업 표준계약서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Noto Sans CJK KR"/>
        <w:b w:val="0"/>
        <w:color w:val="666666"/>
        <w:sz w:val="17"/>
      </w:rPr>
      <w:t>양평포스트 | LOCAL REBOOT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 w:val="0"/>
      <w:spacing w:after="90" w:line="300" w:lineRule="auto"/>
    </w:pPr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7365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pPr>
      <w:spacing w:after="70" w:line="293" w:lineRule="auto"/>
      <w:ind w:left="0" w:firstLine="0"/>
    </w:pPr>
    <w:rPr>
      <w:rFonts w:ascii="Noto Sans CJK KR" w:hAnsi="Noto Sans CJK KR" w:eastAsia="Noto Sans CJK KR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양평포스트 로컬 리부트 유료협업 표준계약서</dc:title>
  <dc:subject>지역상권·예술·로컬푸드·복지서비스 유료협업 계약</dc:subject>
  <dc:creator>양평포스트</dc:creator>
  <cp:keywords>양평포스트, 로컬리부트, 유료협업, 광고, 표준계약서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